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5" w:rsidRDefault="00B73ED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3ED5" w:rsidRDefault="00B73ED5">
      <w:pPr>
        <w:pStyle w:val="ConsPlusNormal"/>
        <w:jc w:val="both"/>
        <w:outlineLvl w:val="0"/>
      </w:pPr>
    </w:p>
    <w:p w:rsidR="00B73ED5" w:rsidRDefault="00B73ED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73ED5" w:rsidRDefault="00B73ED5">
      <w:pPr>
        <w:pStyle w:val="ConsPlusTitle"/>
        <w:jc w:val="center"/>
      </w:pPr>
    </w:p>
    <w:p w:rsidR="00B73ED5" w:rsidRDefault="00B73ED5">
      <w:pPr>
        <w:pStyle w:val="ConsPlusTitle"/>
        <w:jc w:val="center"/>
      </w:pPr>
      <w:r>
        <w:t>ПОСТАНОВЛЕНИЕ</w:t>
      </w:r>
    </w:p>
    <w:p w:rsidR="00B73ED5" w:rsidRDefault="00B73ED5">
      <w:pPr>
        <w:pStyle w:val="ConsPlusTitle"/>
        <w:jc w:val="center"/>
      </w:pPr>
      <w:r>
        <w:t>от 10 сентября 2021 г. N 342-п</w:t>
      </w:r>
    </w:p>
    <w:p w:rsidR="00B73ED5" w:rsidRDefault="00B73ED5">
      <w:pPr>
        <w:pStyle w:val="ConsPlusTitle"/>
        <w:jc w:val="center"/>
      </w:pPr>
    </w:p>
    <w:p w:rsidR="00B73ED5" w:rsidRDefault="00B73ED5">
      <w:pPr>
        <w:pStyle w:val="ConsPlusTitle"/>
        <w:jc w:val="center"/>
      </w:pPr>
      <w:r>
        <w:t>О ПОРЯДКЕ НАЗНАЧЕНИЯ ПОЖИЗНЕННОГО МАТЕРИАЛЬНОГО ОБЕСПЕЧЕНИЯ</w:t>
      </w:r>
    </w:p>
    <w:p w:rsidR="00B73ED5" w:rsidRDefault="00B73ED5">
      <w:pPr>
        <w:pStyle w:val="ConsPlusTitle"/>
        <w:jc w:val="center"/>
      </w:pPr>
      <w:r>
        <w:t>СПОРТСМЕНОВ И ТРЕНЕРОВ, ТРЕНЕРОВ-ПРЕПОДАВАТЕЛЕЙ</w:t>
      </w:r>
    </w:p>
    <w:p w:rsidR="00B73ED5" w:rsidRDefault="00B73ED5">
      <w:pPr>
        <w:pStyle w:val="ConsPlusTitle"/>
        <w:jc w:val="center"/>
      </w:pPr>
      <w:r>
        <w:t>В ХАНТЫ-МАНСИЙСКОМ АВТОНОМНОМ ОКРУГЕ - ЮГРЕ</w:t>
      </w:r>
    </w:p>
    <w:p w:rsidR="00B73ED5" w:rsidRDefault="00B73E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3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ED5" w:rsidRDefault="00B73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ED5" w:rsidRDefault="00B73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03.02.2023 N 46-п)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</w:tr>
    </w:tbl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февраля 2020 года N 1-оз "О регулировании отдельных вопросов в сфере физической культуры и спорта в Ханты-Мансийском автономном округе - Югре", учитывая решение Общественного совета при Департаменте физической культуры и спорта Ханты-Мансийского автономного округа - Югры (протокол</w:t>
      </w:r>
      <w:proofErr w:type="gramEnd"/>
      <w:r>
        <w:t xml:space="preserve"> заседания от 15 января 2021 года), Правительство Ханты-Мансийского автономного округа - Югры постановляет:</w:t>
      </w:r>
    </w:p>
    <w:p w:rsidR="00B73ED5" w:rsidRDefault="00B73ED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назначения пожизненного материального обеспечения спортсменов и тренеров, тренеров-преподавателей в Ханты-Мансийском автономном округе - Югре.</w:t>
      </w:r>
      <w:proofErr w:type="gramEnd"/>
    </w:p>
    <w:p w:rsidR="00B73ED5" w:rsidRDefault="00B73ED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03.02.2023 N 46-п)</w:t>
      </w: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right"/>
      </w:pPr>
      <w:r>
        <w:t>Губернатор</w:t>
      </w:r>
    </w:p>
    <w:p w:rsidR="00B73ED5" w:rsidRDefault="00B73ED5">
      <w:pPr>
        <w:pStyle w:val="ConsPlusNormal"/>
        <w:jc w:val="right"/>
      </w:pPr>
      <w:r>
        <w:t>Ханты-Мансийского</w:t>
      </w:r>
    </w:p>
    <w:p w:rsidR="00B73ED5" w:rsidRDefault="00B73ED5">
      <w:pPr>
        <w:pStyle w:val="ConsPlusNormal"/>
        <w:jc w:val="right"/>
      </w:pPr>
      <w:r>
        <w:t>автономного округа - Югры</w:t>
      </w:r>
    </w:p>
    <w:p w:rsidR="00B73ED5" w:rsidRDefault="00B73ED5">
      <w:pPr>
        <w:pStyle w:val="ConsPlusNormal"/>
        <w:jc w:val="right"/>
      </w:pPr>
      <w:r>
        <w:t>Н.В.КОМАРОВА</w:t>
      </w: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right"/>
        <w:outlineLvl w:val="0"/>
      </w:pPr>
      <w:r>
        <w:t>Приложение</w:t>
      </w:r>
    </w:p>
    <w:p w:rsidR="00B73ED5" w:rsidRDefault="00B73ED5">
      <w:pPr>
        <w:pStyle w:val="ConsPlusNormal"/>
        <w:jc w:val="right"/>
      </w:pPr>
      <w:r>
        <w:t>к постановлению Правительства</w:t>
      </w:r>
    </w:p>
    <w:p w:rsidR="00B73ED5" w:rsidRDefault="00B73ED5">
      <w:pPr>
        <w:pStyle w:val="ConsPlusNormal"/>
        <w:jc w:val="right"/>
      </w:pPr>
      <w:r>
        <w:t>Ханты-Мансийского</w:t>
      </w:r>
    </w:p>
    <w:p w:rsidR="00B73ED5" w:rsidRDefault="00B73ED5">
      <w:pPr>
        <w:pStyle w:val="ConsPlusNormal"/>
        <w:jc w:val="right"/>
      </w:pPr>
      <w:r>
        <w:t>автономного округа - Югры</w:t>
      </w:r>
    </w:p>
    <w:p w:rsidR="00B73ED5" w:rsidRDefault="00B73ED5">
      <w:pPr>
        <w:pStyle w:val="ConsPlusNormal"/>
        <w:jc w:val="right"/>
      </w:pPr>
      <w:r>
        <w:t>от 10 сентября 2021 года N 342-п</w:t>
      </w: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Title"/>
        <w:jc w:val="center"/>
      </w:pPr>
      <w:bookmarkStart w:id="0" w:name="P31"/>
      <w:bookmarkEnd w:id="0"/>
      <w:r>
        <w:t>ПОРЯДОК</w:t>
      </w:r>
    </w:p>
    <w:p w:rsidR="00B73ED5" w:rsidRDefault="00B73ED5">
      <w:pPr>
        <w:pStyle w:val="ConsPlusTitle"/>
        <w:jc w:val="center"/>
      </w:pPr>
      <w:r>
        <w:t>НАЗНАЧЕНИЯ ПОЖИЗНЕННОГО МАТЕРИАЛЬНОГО ОБЕСПЕЧЕНИЯ</w:t>
      </w:r>
    </w:p>
    <w:p w:rsidR="00B73ED5" w:rsidRDefault="00B73ED5">
      <w:pPr>
        <w:pStyle w:val="ConsPlusTitle"/>
        <w:jc w:val="center"/>
      </w:pPr>
      <w:r>
        <w:t>СПОРТСМЕНОВ И ТРЕНЕРОВ, ТРЕНЕРОВ-ПРЕПОДАВАТЕЛЕЙ</w:t>
      </w:r>
    </w:p>
    <w:p w:rsidR="00B73ED5" w:rsidRDefault="00B73ED5">
      <w:pPr>
        <w:pStyle w:val="ConsPlusTitle"/>
        <w:jc w:val="center"/>
      </w:pPr>
      <w:r>
        <w:t>В ХАНТЫ-МАНСИЙСКОМ АВТОНОМНОМ ОКРУГЕ - ЮГРЕ</w:t>
      </w:r>
    </w:p>
    <w:p w:rsidR="00B73ED5" w:rsidRDefault="00B73ED5">
      <w:pPr>
        <w:pStyle w:val="ConsPlusTitle"/>
        <w:jc w:val="center"/>
      </w:pPr>
      <w:r>
        <w:t>(ДАЛЕЕ - ПОРЯДОК)</w:t>
      </w:r>
    </w:p>
    <w:p w:rsidR="00B73ED5" w:rsidRDefault="00B73E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3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ED5" w:rsidRDefault="00B73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ED5" w:rsidRDefault="00B73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03.02.2023 N 46-п)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D5" w:rsidRDefault="00B73ED5">
            <w:pPr>
              <w:pStyle w:val="ConsPlusNormal"/>
            </w:pPr>
          </w:p>
        </w:tc>
      </w:tr>
    </w:tbl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ind w:firstLine="540"/>
        <w:jc w:val="both"/>
      </w:pPr>
      <w:r>
        <w:lastRenderedPageBreak/>
        <w:t xml:space="preserve">1. Пожизненное материальное обеспечение </w:t>
      </w:r>
      <w:proofErr w:type="gramStart"/>
      <w:r>
        <w:t>назначается и выплачивается</w:t>
      </w:r>
      <w:proofErr w:type="gramEnd"/>
      <w:r>
        <w:t xml:space="preserve"> спортсмену и тренеру, тренеру-преподавателю, соответствующим условиям, установленным </w:t>
      </w:r>
      <w:hyperlink r:id="rId11">
        <w:r>
          <w:rPr>
            <w:color w:val="0000FF"/>
          </w:rPr>
          <w:t>статьей 8</w:t>
        </w:r>
      </w:hyperlink>
      <w:r>
        <w:t xml:space="preserve"> Закона Ханты-Мансийского автономного округа - Югры от 27 февраля 2020 года N 1-оз "О регулировании отдельных вопросов в сфере физической культуры и спорта в Ханты-Мансийском автономном округе - Югре" (далее - спортсмен, тренер, Закон N 1-оз, автономный округ).</w:t>
      </w:r>
    </w:p>
    <w:p w:rsidR="00B73ED5" w:rsidRDefault="00B73ED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03.02.2023 N 46-п)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2. Пожизненное материальное обеспечение спортсмену назначается и выплачивается ежемесячно в </w:t>
      </w:r>
      <w:proofErr w:type="gramStart"/>
      <w:r>
        <w:t>размере</w:t>
      </w:r>
      <w:proofErr w:type="gramEnd"/>
      <w:r>
        <w:t>: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30 000 рублей - победителю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Всемирной шахматной олимпиады;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25 000 рублей - серебряному призеру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Всемирной шахматной олимпиады;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20 000 рублей - бронзовому призеру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Всемирной шахматной олимпиады.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3. Пожизненное материальное обеспечение тренеру назначается и выплачивается ежемесячно в </w:t>
      </w:r>
      <w:proofErr w:type="gramStart"/>
      <w:r>
        <w:t>размере</w:t>
      </w:r>
      <w:proofErr w:type="gramEnd"/>
      <w:r>
        <w:t xml:space="preserve"> 15 000 рублей.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>4. Гражданину, имеющему право на получение одновременно пожизненного материального обеспечения как спортсмену и как тренеру, назначается один вид ежемесячной денежной выплаты по его выбору.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>5. Предоставление пожизненного материального обеспечения осуществляется казенным учреждением автономного округа "Центр социальных выплат" (далее - Центр) по месту жительства спортсмена, тренера.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получения пожизненного материального обеспечения спортсмен, тренер непосредственно, почтовым отправлением либо в электронном виде представляют в Центр заявления о назначении выплаты пожизненного материального обеспечения по форме, утвержденной приказом Департамента социального развития автономного округа (далее - заявление, заявитель).</w:t>
      </w:r>
      <w:proofErr w:type="gramEnd"/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подтверждения соответствия заявителей условиям, установленным </w:t>
      </w:r>
      <w:hyperlink r:id="rId13">
        <w:r>
          <w:rPr>
            <w:color w:val="0000FF"/>
          </w:rPr>
          <w:t>статьей 8</w:t>
        </w:r>
      </w:hyperlink>
      <w:r>
        <w:t xml:space="preserve"> Закона N 1-оз, Центр в течение 12 рабочих дней со дня поступления заявления запрашивает сведения о заявителе (далее - сведения), содержащиеся в государственной информационной системе автономного округа "Информационно-аналитическая система подготовки спортивного резерва в Ханты-Мансийском автономном округе - Югре", созданной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31 мая 2019 года N 166-п.</w:t>
      </w:r>
      <w:proofErr w:type="gramEnd"/>
    </w:p>
    <w:p w:rsidR="00B73ED5" w:rsidRDefault="00B73ED5">
      <w:pPr>
        <w:pStyle w:val="ConsPlusNormal"/>
        <w:spacing w:before="220"/>
        <w:ind w:firstLine="540"/>
        <w:jc w:val="both"/>
      </w:pPr>
      <w:r>
        <w:t>Спортсмен, тренер вправе представить сведения в Центр самостоятельно.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8. Основаниями для отказа в </w:t>
      </w:r>
      <w:proofErr w:type="gramStart"/>
      <w:r>
        <w:t>назначении</w:t>
      </w:r>
      <w:proofErr w:type="gramEnd"/>
      <w:r>
        <w:t xml:space="preserve"> пожизненного материального обеспечения спортсмену, тренеру являются: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r:id="rId15">
        <w:r>
          <w:rPr>
            <w:color w:val="0000FF"/>
          </w:rPr>
          <w:t>статьей 8</w:t>
        </w:r>
      </w:hyperlink>
      <w:r>
        <w:t xml:space="preserve"> Закона N 1-оз, в том числе отсутствие регистрации в установленном законодательством порядке по месту жительства в автономном округе;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>назначение соответствующей антидопинговой организацией санкций, действующих на период рассмотрения заявления спортсмена, тренера (до истечения срока применения санкций).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9. В течение 20 рабочих дней со дня поступления заявления Центр рассматривает, </w:t>
      </w:r>
      <w:proofErr w:type="gramStart"/>
      <w:r>
        <w:t xml:space="preserve">проверяет </w:t>
      </w:r>
      <w:r>
        <w:lastRenderedPageBreak/>
        <w:t>сведения и принимает</w:t>
      </w:r>
      <w:proofErr w:type="gramEnd"/>
      <w:r>
        <w:t xml:space="preserve"> решение о назначении пожизненного материального обеспечения либо об отказе в его назначении в форме приказа с указанием причины отказа и письменно информирует об этом спортсмена, тренера.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Выплата пожизненного материального обеспечения спортсмену, тренеру осуществляется Центром ежемесячно путем перечисления на их лицевые счета, начиная с месяца, следующего за месяцем, в котором принято решение о назначении пожизненного материального обеспечения.</w:t>
      </w:r>
      <w:proofErr w:type="gramEnd"/>
    </w:p>
    <w:p w:rsidR="00B73ED5" w:rsidRDefault="00B73ED5">
      <w:pPr>
        <w:pStyle w:val="ConsPlusNormal"/>
        <w:spacing w:before="220"/>
        <w:ind w:firstLine="540"/>
        <w:jc w:val="both"/>
      </w:pPr>
      <w:r>
        <w:t>11. Если спортсмен, тренер признаны соответствующей антидопинговой организацией нарушившими антидопинговые правила и к ним в связи с этим применены санкции, действующие в период выплаты пожизненного материального обеспечения, выплата приостанавливается на основании приказа Центра с месяца, следующего за месяцем, в котором применены санкции.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>Выплата пожизненного материального обеспечения возобновляется на основании приказа Центра с месяца, следующего за месяцем прекращения действия указанных санкций.</w:t>
      </w:r>
    </w:p>
    <w:p w:rsidR="00B73ED5" w:rsidRDefault="00B73ED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12. Основаниями для прекращения выплаты пожизненного материального обеспечения спортсмену, тренеру являются: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смерть </w:t>
      </w:r>
      <w:proofErr w:type="gramStart"/>
      <w:r>
        <w:t>получающего</w:t>
      </w:r>
      <w:proofErr w:type="gramEnd"/>
      <w:r>
        <w:t xml:space="preserve"> пожизненное материальное обеспечение;</w:t>
      </w:r>
    </w:p>
    <w:p w:rsidR="00B73ED5" w:rsidRDefault="00B73ED5">
      <w:pPr>
        <w:pStyle w:val="ConsPlusNormal"/>
        <w:spacing w:before="220"/>
        <w:ind w:firstLine="540"/>
        <w:jc w:val="both"/>
      </w:pPr>
      <w:proofErr w:type="gramStart"/>
      <w:r>
        <w:t>снятие спортсмена, тренера с регистрационного учета по месту жительства в автономном округе.</w:t>
      </w:r>
      <w:proofErr w:type="gramEnd"/>
    </w:p>
    <w:p w:rsidR="00B73ED5" w:rsidRDefault="00B73ED5">
      <w:pPr>
        <w:pStyle w:val="ConsPlusNormal"/>
        <w:spacing w:before="220"/>
        <w:ind w:firstLine="540"/>
        <w:jc w:val="both"/>
      </w:pPr>
      <w:r>
        <w:t>13. Спортсмен, тренер, получающие пожизненное материальное обеспечение, в течение 10 рабочих дней со дня снятия с регистрационного учета в автономном округе письменно уведомляют об этом Центр.</w:t>
      </w:r>
    </w:p>
    <w:p w:rsidR="00B73ED5" w:rsidRDefault="00B73ED5">
      <w:pPr>
        <w:pStyle w:val="ConsPlusNormal"/>
        <w:spacing w:before="220"/>
        <w:ind w:firstLine="540"/>
        <w:jc w:val="both"/>
      </w:pPr>
      <w:r>
        <w:t xml:space="preserve">14. При наличии оснований, указанных в </w:t>
      </w:r>
      <w:hyperlink w:anchor="P58">
        <w:r>
          <w:rPr>
            <w:color w:val="0000FF"/>
          </w:rPr>
          <w:t>пункте 12</w:t>
        </w:r>
      </w:hyperlink>
      <w:r>
        <w:t xml:space="preserve"> Порядка, Центр в течение 5 рабочих дней со дня получения соответствующей информации издает приказ о прекращении выплаты пожизненного материального обеспечения спортсмену, тренеру с месяца, следующего за месяцем, в котором указанные основания возникли.</w:t>
      </w: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jc w:val="both"/>
      </w:pPr>
    </w:p>
    <w:p w:rsidR="00B73ED5" w:rsidRDefault="00B73E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A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5"/>
    <w:rsid w:val="00B73ED5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3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E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3E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5523&amp;dst=100102" TargetMode="External"/><Relationship Id="rId13" Type="http://schemas.openxmlformats.org/officeDocument/2006/relationships/hyperlink" Target="https://login.consultant.ru/link/?req=doc&amp;base=RLAW926&amp;n=275523&amp;dst=100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64&amp;dst=100143" TargetMode="External"/><Relationship Id="rId12" Type="http://schemas.openxmlformats.org/officeDocument/2006/relationships/hyperlink" Target="https://login.consultant.ru/link/?req=doc&amp;base=RLAW926&amp;n=272564&amp;dst=1000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2564&amp;dst=100005" TargetMode="External"/><Relationship Id="rId11" Type="http://schemas.openxmlformats.org/officeDocument/2006/relationships/hyperlink" Target="https://login.consultant.ru/link/?req=doc&amp;base=RLAW926&amp;n=275523&amp;dst=10010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75523&amp;dst=100097" TargetMode="External"/><Relationship Id="rId10" Type="http://schemas.openxmlformats.org/officeDocument/2006/relationships/hyperlink" Target="https://login.consultant.ru/link/?req=doc&amp;base=RLAW926&amp;n=272564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2564&amp;dst=100006" TargetMode="External"/><Relationship Id="rId14" Type="http://schemas.openxmlformats.org/officeDocument/2006/relationships/hyperlink" Target="https://login.consultant.ru/link/?req=doc&amp;base=RLAW926&amp;n=262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2024-03-28T09:00:00Z</dcterms:created>
  <dcterms:modified xsi:type="dcterms:W3CDTF">2024-03-28T09:00:00Z</dcterms:modified>
</cp:coreProperties>
</file>